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022" w:rsidRPr="008445DF" w:rsidRDefault="008445DF" w:rsidP="008445DF">
      <w:pPr>
        <w:spacing w:after="0"/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 w:rsidRPr="008445DF">
        <w:rPr>
          <w:b/>
          <w:sz w:val="28"/>
          <w:szCs w:val="28"/>
        </w:rPr>
        <w:t>COAPRT 7 Series Template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657022">
        <w:tc>
          <w:tcPr>
            <w:tcW w:w="9576" w:type="dxa"/>
          </w:tcPr>
          <w:p w:rsidR="00657022" w:rsidRDefault="008445DF">
            <w:pPr>
              <w:ind w:left="522" w:hanging="521"/>
              <w:contextualSpacing w:val="0"/>
            </w:pPr>
            <w:r>
              <w:rPr>
                <w:b/>
                <w:sz w:val="20"/>
              </w:rPr>
              <w:t xml:space="preserve">7.01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Students graduating from the program shall demonstrate the following entry-level knowledge:  a) the nature and scope of the relevant park, recreation, tourism or related professions and their associated industries; b) techniques and processes used by profe</w:t>
            </w:r>
            <w:r>
              <w:rPr>
                <w:b/>
                <w:sz w:val="20"/>
              </w:rPr>
              <w:t>ssionals and workers in these industries; and c) the foundation of the profession in history, science and philosophy.</w:t>
            </w:r>
          </w:p>
          <w:p w:rsidR="00657022" w:rsidRDefault="00657022">
            <w:pPr>
              <w:ind w:left="522" w:hanging="521"/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Course Specific Learning Outcome: </w:t>
            </w:r>
            <w:r>
              <w:rPr>
                <w:i/>
                <w:sz w:val="20"/>
              </w:rPr>
              <w:t>What is the learning outcome identified in the course syllabus that meets this standard?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>Evidenc</w:t>
            </w:r>
            <w:r>
              <w:rPr>
                <w:b/>
                <w:sz w:val="20"/>
              </w:rPr>
              <w:t xml:space="preserve">e of Learning Opportunity (7.01.01) </w:t>
            </w:r>
            <w:r>
              <w:rPr>
                <w:i/>
                <w:sz w:val="20"/>
              </w:rPr>
              <w:t>How are students given opportunities to show they have learned the outcome?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Performance Measure (7.01.02) </w:t>
            </w:r>
            <w:r>
              <w:rPr>
                <w:i/>
                <w:sz w:val="20"/>
              </w:rPr>
              <w:t>What is the method by which the outcome is being measured? How are students showing that they are learning th</w:t>
            </w:r>
            <w:r>
              <w:rPr>
                <w:i/>
                <w:sz w:val="20"/>
              </w:rPr>
              <w:t>e outcome? Exam questions, assignment rubrics,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portfolios, alumni surveys, etc.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Performance levels/metrics: </w:t>
            </w:r>
            <w:r>
              <w:rPr>
                <w:i/>
                <w:sz w:val="20"/>
              </w:rPr>
              <w:t>What is the level of compliance by which the program agrees the standard has been met? (i.e. 80% of the students will get a score of 80% or higher on the assignment)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>Assessment Results (7.01.03</w:t>
            </w:r>
            <w:r>
              <w:rPr>
                <w:i/>
                <w:sz w:val="20"/>
              </w:rPr>
              <w:t>) Based on the performance levels/metrics set above, at t</w:t>
            </w:r>
            <w:r>
              <w:rPr>
                <w:i/>
                <w:sz w:val="20"/>
              </w:rPr>
              <w:t>he end of the semester, what were the results?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  <w:bookmarkStart w:id="1" w:name="h.gjdgxs" w:colFirst="0" w:colLast="0"/>
            <w:bookmarkEnd w:id="1"/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Evidence of Programmatic Decisions (7.01.04) </w:t>
            </w:r>
            <w:r>
              <w:rPr>
                <w:i/>
                <w:sz w:val="20"/>
              </w:rPr>
              <w:t xml:space="preserve">Based on the assessment results above, how is the program using the results to drive their curricular decisions? 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ABSENT</w:t>
            </w:r>
          </w:p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PRESENT</w:t>
            </w:r>
          </w:p>
          <w:p w:rsidR="00657022" w:rsidRDefault="008445DF">
            <w:pPr>
              <w:contextualSpacing w:val="0"/>
            </w:pPr>
            <w:r>
              <w:rPr>
                <w:b/>
                <w:color w:val="FF0000"/>
                <w:sz w:val="20"/>
              </w:rPr>
              <w:t>This column for visitors use only</w:t>
            </w:r>
          </w:p>
        </w:tc>
      </w:tr>
      <w:tr w:rsidR="00657022">
        <w:tc>
          <w:tcPr>
            <w:tcW w:w="9576" w:type="dxa"/>
          </w:tcPr>
          <w:p w:rsidR="00657022" w:rsidRDefault="008445DF">
            <w:pPr>
              <w:ind w:left="522" w:hanging="521"/>
              <w:contextualSpacing w:val="0"/>
            </w:pPr>
            <w:r>
              <w:rPr>
                <w:b/>
                <w:sz w:val="20"/>
              </w:rPr>
              <w:lastRenderedPageBreak/>
              <w:t xml:space="preserve">7.02 </w:t>
            </w:r>
            <w:r>
              <w:rPr>
                <w:b/>
                <w:sz w:val="20"/>
              </w:rPr>
              <w:tab/>
              <w:t xml:space="preserve">Students graduating from the program shall be able to demonstrate the ability to design, implement, and evaluate services that facilitate targeted human experiences and that embrace personal and cultural dimensions </w:t>
            </w:r>
            <w:r>
              <w:rPr>
                <w:b/>
                <w:sz w:val="20"/>
              </w:rPr>
              <w:t>of diversity.</w:t>
            </w:r>
          </w:p>
          <w:p w:rsidR="00657022" w:rsidRDefault="00657022">
            <w:pPr>
              <w:ind w:left="522" w:hanging="521"/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Course Specific Learning Outcome: </w:t>
            </w:r>
            <w:r>
              <w:rPr>
                <w:i/>
                <w:sz w:val="20"/>
              </w:rPr>
              <w:t>What is the learning outcome identified in the course syllabus that meets this standard?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Evidence of Learning Opportunity (7.02.01) </w:t>
            </w:r>
            <w:r>
              <w:rPr>
                <w:i/>
                <w:sz w:val="20"/>
              </w:rPr>
              <w:t>How are students given opportunities to show they have learned the outcome?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Performance Measure (7.02.02) </w:t>
            </w:r>
            <w:r>
              <w:rPr>
                <w:i/>
                <w:sz w:val="20"/>
              </w:rPr>
              <w:t>What is the method by which the outcome is being measured? How are students showing that they are learning the outcome? Exam questions, assignme</w:t>
            </w:r>
            <w:r>
              <w:rPr>
                <w:i/>
                <w:sz w:val="20"/>
              </w:rPr>
              <w:t>nt rubrics,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portfolios, alumni surveys, etc.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Performance levels/metrics: </w:t>
            </w:r>
            <w:r>
              <w:rPr>
                <w:i/>
                <w:sz w:val="20"/>
              </w:rPr>
              <w:t>What is the level of compliance by which the program agrees the standard has been met? (i.e. 80% of the students will get a score of 80% or higher on the assignment)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>Assessment Results (7.02.03</w:t>
            </w:r>
            <w:r>
              <w:rPr>
                <w:i/>
                <w:sz w:val="20"/>
              </w:rPr>
              <w:t>) Based on the performance levels/metrics set above, at the end of the semester, what were the results?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Evidence of Programmatic Decisions (7.02.04) </w:t>
            </w:r>
            <w:r>
              <w:rPr>
                <w:i/>
                <w:sz w:val="20"/>
              </w:rPr>
              <w:t>Based on the assessment results above, how is the program using the result</w:t>
            </w:r>
            <w:r>
              <w:rPr>
                <w:i/>
                <w:sz w:val="20"/>
              </w:rPr>
              <w:t xml:space="preserve">s to drive their curricular decisions? 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ABSENT</w:t>
            </w:r>
          </w:p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PRESENT</w:t>
            </w:r>
          </w:p>
          <w:p w:rsidR="008445DF" w:rsidRDefault="008445DF" w:rsidP="008445DF">
            <w:pPr>
              <w:ind w:left="346"/>
              <w:rPr>
                <w:sz w:val="20"/>
              </w:rPr>
            </w:pPr>
          </w:p>
          <w:p w:rsidR="00657022" w:rsidRDefault="008445DF">
            <w:pPr>
              <w:contextualSpacing w:val="0"/>
            </w:pPr>
            <w:r>
              <w:rPr>
                <w:b/>
                <w:color w:val="FF0000"/>
                <w:sz w:val="20"/>
              </w:rPr>
              <w:t>This column for visitors use only</w:t>
            </w:r>
          </w:p>
        </w:tc>
      </w:tr>
      <w:tr w:rsidR="00657022">
        <w:tc>
          <w:tcPr>
            <w:tcW w:w="9576" w:type="dxa"/>
          </w:tcPr>
          <w:p w:rsidR="00657022" w:rsidRDefault="008445DF">
            <w:pPr>
              <w:ind w:left="522" w:hanging="521"/>
              <w:contextualSpacing w:val="0"/>
            </w:pPr>
            <w:r>
              <w:rPr>
                <w:b/>
                <w:sz w:val="20"/>
              </w:rPr>
              <w:lastRenderedPageBreak/>
              <w:t xml:space="preserve">7.03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Students graduating from the program shall be able to demonstrate entry-level knowledge about operations and strategic management/administration in parks, recreation, tourism and/or related professions.</w:t>
            </w:r>
          </w:p>
          <w:p w:rsidR="00657022" w:rsidRDefault="00657022">
            <w:pPr>
              <w:ind w:left="522" w:hanging="521"/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Course Specific Learning Outcome: </w:t>
            </w:r>
            <w:r>
              <w:rPr>
                <w:i/>
                <w:sz w:val="20"/>
              </w:rPr>
              <w:t>What is the learn</w:t>
            </w:r>
            <w:r>
              <w:rPr>
                <w:i/>
                <w:sz w:val="20"/>
              </w:rPr>
              <w:t>ing outcome identified in the course syllabus that meets this standard?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Evidence of Learning Opportunity (7.03.01) </w:t>
            </w:r>
            <w:r>
              <w:rPr>
                <w:i/>
                <w:sz w:val="20"/>
              </w:rPr>
              <w:t>How are students given opportunities to show they have learned the outcome?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Performance Measure (7.03.02) </w:t>
            </w:r>
            <w:r>
              <w:rPr>
                <w:i/>
                <w:sz w:val="20"/>
              </w:rPr>
              <w:t>What is the method by which the outcome is being measured? How are students showing that they are learning the outcome? Exam questions, assignment rubrics,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portfolios, alumni surveys, etc.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Performance levels/metrics: </w:t>
            </w:r>
            <w:r>
              <w:rPr>
                <w:i/>
                <w:sz w:val="20"/>
              </w:rPr>
              <w:t xml:space="preserve">What is the level of compliance </w:t>
            </w:r>
            <w:r>
              <w:rPr>
                <w:i/>
                <w:sz w:val="20"/>
              </w:rPr>
              <w:t>by which the program agrees the standard has been met? (i.e. 80% of the students will get a score of 80% or higher on the assignment)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>Assessment Results (7.03.03</w:t>
            </w:r>
            <w:r>
              <w:rPr>
                <w:i/>
                <w:sz w:val="20"/>
              </w:rPr>
              <w:t>) Based on the performance levels/metrics set above, at the end of the semester, what wer</w:t>
            </w:r>
            <w:r>
              <w:rPr>
                <w:i/>
                <w:sz w:val="20"/>
              </w:rPr>
              <w:t>e the results?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Evidence of Programmatic Decisions (7.03.04) </w:t>
            </w:r>
            <w:r>
              <w:rPr>
                <w:i/>
                <w:sz w:val="20"/>
              </w:rPr>
              <w:t xml:space="preserve">Based on the assessment results above, how is the program using the results to drive their curricular decisions? 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ABSENT</w:t>
            </w:r>
          </w:p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PRESENT</w:t>
            </w:r>
          </w:p>
          <w:p w:rsidR="008445DF" w:rsidRDefault="008445DF" w:rsidP="008445DF">
            <w:pPr>
              <w:ind w:left="346"/>
              <w:rPr>
                <w:sz w:val="20"/>
              </w:rPr>
            </w:pPr>
          </w:p>
          <w:p w:rsidR="00657022" w:rsidRDefault="008445DF">
            <w:pPr>
              <w:contextualSpacing w:val="0"/>
            </w:pPr>
            <w:r>
              <w:rPr>
                <w:b/>
                <w:color w:val="FF0000"/>
                <w:sz w:val="20"/>
              </w:rPr>
              <w:t>This column for visitors use only</w:t>
            </w:r>
          </w:p>
        </w:tc>
      </w:tr>
      <w:tr w:rsidR="00657022">
        <w:tc>
          <w:tcPr>
            <w:tcW w:w="9576" w:type="dxa"/>
          </w:tcPr>
          <w:p w:rsidR="00657022" w:rsidRDefault="008445DF">
            <w:pPr>
              <w:ind w:left="522" w:hanging="521"/>
              <w:contextualSpacing w:val="0"/>
            </w:pPr>
            <w:r>
              <w:rPr>
                <w:b/>
                <w:sz w:val="20"/>
              </w:rPr>
              <w:lastRenderedPageBreak/>
              <w:t xml:space="preserve">7.04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Students graduating from the program shall demonstrate, through a comprehensive internship of not less than 400 clock hours and no fewer than 10 weeks, the potential to succeed as professionals at supervisory or higher levels in park, recreation, tourism, </w:t>
            </w:r>
            <w:r>
              <w:rPr>
                <w:b/>
                <w:sz w:val="20"/>
              </w:rPr>
              <w:t xml:space="preserve">or related organizations.  </w:t>
            </w:r>
          </w:p>
          <w:p w:rsidR="00657022" w:rsidRDefault="00657022">
            <w:pPr>
              <w:ind w:left="522" w:hanging="521"/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Course Specific Learning Outcome: </w:t>
            </w:r>
            <w:r>
              <w:rPr>
                <w:i/>
                <w:sz w:val="20"/>
              </w:rPr>
              <w:t>What is the learning outcome identified in the course syllabus that meets this standard?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Evidence of Learning Opportunity (7.04.01) </w:t>
            </w:r>
            <w:r>
              <w:rPr>
                <w:i/>
                <w:sz w:val="20"/>
              </w:rPr>
              <w:t xml:space="preserve">How are students given opportunities to show they have </w:t>
            </w:r>
            <w:r>
              <w:rPr>
                <w:i/>
                <w:sz w:val="20"/>
              </w:rPr>
              <w:t>learned the outcome?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Performance Measure (7.04.02) </w:t>
            </w:r>
            <w:r>
              <w:rPr>
                <w:i/>
                <w:sz w:val="20"/>
              </w:rPr>
              <w:t>What is the method by which the outcome is being measured? How are students showing that they are learning the outcome? Exam questions, assignment rubrics,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portfolios, alumni surveys, etc.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Performance levels/metrics: </w:t>
            </w:r>
            <w:r>
              <w:rPr>
                <w:i/>
                <w:sz w:val="20"/>
              </w:rPr>
              <w:t>What is the level of compliance by which the program agrees the standard has been met? (i.e. 80% of the students will get a score of 80% or higher on the assignment)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>Assessment Results (7.04.03</w:t>
            </w:r>
            <w:r>
              <w:rPr>
                <w:i/>
                <w:sz w:val="20"/>
              </w:rPr>
              <w:t>) Based on the performance le</w:t>
            </w:r>
            <w:r>
              <w:rPr>
                <w:i/>
                <w:sz w:val="20"/>
              </w:rPr>
              <w:t>vels/metrics set above, at the end of the semester, what were the results?</w:t>
            </w:r>
          </w:p>
          <w:p w:rsidR="00657022" w:rsidRDefault="00657022">
            <w:pPr>
              <w:contextualSpacing w:val="0"/>
              <w:jc w:val="right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contextualSpacing w:val="0"/>
            </w:pPr>
            <w:r>
              <w:rPr>
                <w:b/>
                <w:sz w:val="20"/>
              </w:rPr>
              <w:t xml:space="preserve">Evidence of Programmatic Decisions (7.04.04) </w:t>
            </w:r>
            <w:r>
              <w:rPr>
                <w:i/>
                <w:sz w:val="20"/>
              </w:rPr>
              <w:t xml:space="preserve">Based on the assessment results above, how is the program using the results to drive their curricular decisions? </w:t>
            </w: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  <w:p w:rsidR="00657022" w:rsidRDefault="00657022">
            <w:pPr>
              <w:contextualSpacing w:val="0"/>
            </w:pPr>
          </w:p>
        </w:tc>
      </w:tr>
      <w:tr w:rsidR="00657022">
        <w:tc>
          <w:tcPr>
            <w:tcW w:w="9576" w:type="dxa"/>
          </w:tcPr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ABSENT</w:t>
            </w:r>
          </w:p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  <w:p w:rsidR="00657022" w:rsidRDefault="008445DF">
            <w:pPr>
              <w:numPr>
                <w:ilvl w:val="0"/>
                <w:numId w:val="1"/>
              </w:numPr>
              <w:ind w:left="346" w:hanging="359"/>
              <w:rPr>
                <w:sz w:val="20"/>
              </w:rPr>
            </w:pPr>
            <w:r>
              <w:rPr>
                <w:sz w:val="20"/>
              </w:rPr>
              <w:t>PRESENT</w:t>
            </w:r>
          </w:p>
          <w:p w:rsidR="008445DF" w:rsidRDefault="008445DF" w:rsidP="008445DF">
            <w:pPr>
              <w:ind w:left="346"/>
              <w:rPr>
                <w:sz w:val="20"/>
              </w:rPr>
            </w:pPr>
          </w:p>
          <w:p w:rsidR="00657022" w:rsidRDefault="008445DF">
            <w:pPr>
              <w:contextualSpacing w:val="0"/>
            </w:pPr>
            <w:r>
              <w:rPr>
                <w:b/>
                <w:color w:val="FF0000"/>
                <w:sz w:val="20"/>
              </w:rPr>
              <w:t>This column for visitors use only</w:t>
            </w:r>
          </w:p>
        </w:tc>
      </w:tr>
    </w:tbl>
    <w:p w:rsidR="00657022" w:rsidRDefault="00657022">
      <w:pPr>
        <w:contextualSpacing w:val="0"/>
      </w:pPr>
    </w:p>
    <w:sectPr w:rsidR="00657022" w:rsidSect="008445DF">
      <w:pgSz w:w="12240" w:h="15840"/>
      <w:pgMar w:top="1296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128F"/>
    <w:multiLevelType w:val="multilevel"/>
    <w:tmpl w:val="526E9D1A"/>
    <w:lvl w:ilvl="0">
      <w:start w:val="1"/>
      <w:numFmt w:val="bullet"/>
      <w:lvlText w:val="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7022"/>
    <w:rsid w:val="00657022"/>
    <w:rsid w:val="008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- 7.0 series template vertical.docx</vt:lpstr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- 7.0 series template vertical.docx</dc:title>
  <dc:creator>Brenda Beales</dc:creator>
  <cp:lastModifiedBy>Brenda Beales</cp:lastModifiedBy>
  <cp:revision>2</cp:revision>
  <dcterms:created xsi:type="dcterms:W3CDTF">2014-12-10T19:21:00Z</dcterms:created>
  <dcterms:modified xsi:type="dcterms:W3CDTF">2014-12-10T19:21:00Z</dcterms:modified>
</cp:coreProperties>
</file>